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 w:val="72"/>
          <w:szCs w:val="32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95250</wp:posOffset>
            </wp:positionV>
            <wp:extent cx="1285875" cy="961390"/>
            <wp:effectExtent l="0" t="0" r="0" b="10160"/>
            <wp:wrapNone/>
            <wp:docPr id="1" name="图片 2" descr="E:\大学生创新创业指导中心\校徽灰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大学生创新创业指导中心\校徽灰度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257175</wp:posOffset>
            </wp:positionV>
            <wp:extent cx="2343150" cy="438150"/>
            <wp:effectExtent l="0" t="0" r="0" b="0"/>
            <wp:wrapNone/>
            <wp:docPr id="2" name="图片 3" descr="E:\大学生创新创业指导中心\江体字灰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:\大学生创新创业指导中心\江体字灰度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eastAsia="微软雅黑"/>
        </w:rPr>
      </w:pPr>
      <w:bookmarkStart w:id="0" w:name="_GoBack"/>
      <w:bookmarkEnd w:id="0"/>
    </w:p>
    <w:p>
      <w:pPr>
        <w:rPr>
          <w:bCs/>
          <w:sz w:val="2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spacing w:line="300" w:lineRule="auto"/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/>
        </w:rPr>
        <w:t>中国国际大学生创新大赛申报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项目计划书</w:t>
      </w:r>
    </w:p>
    <w:p>
      <w:pPr>
        <w:ind w:firstLine="3120" w:firstLineChars="600"/>
        <w:rPr>
          <w:rFonts w:hint="eastAsia" w:hAnsi="黑体" w:eastAsia="黑体"/>
          <w:kern w:val="0"/>
          <w:sz w:val="52"/>
          <w:szCs w:val="52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Ansi="黑体" w:eastAsia="黑体"/>
          <w:sz w:val="28"/>
        </w:rPr>
        <w:t>项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目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名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称</w:t>
      </w:r>
      <w:r>
        <w:rPr>
          <w:sz w:val="28"/>
        </w:rPr>
        <w:t>：</w:t>
      </w:r>
      <w:r>
        <w:rPr>
          <w:color w:val="E36C09"/>
          <w:sz w:val="28"/>
          <w:u w:val="single"/>
        </w:rPr>
        <w:t xml:space="preserve">   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(能够体现产品/技术/服务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>)</w:t>
      </w:r>
      <w:r>
        <w:rPr>
          <w:color w:val="FF0000"/>
          <w:sz w:val="28"/>
          <w:u w:val="single"/>
        </w:rPr>
        <w:t xml:space="preserve"> </w:t>
      </w:r>
      <w:r>
        <w:rPr>
          <w:rFonts w:hint="eastAsia"/>
          <w:color w:val="FF0000"/>
          <w:sz w:val="28"/>
          <w:u w:val="single"/>
        </w:rPr>
        <w:t xml:space="preserve"> </w:t>
      </w:r>
      <w:r>
        <w:rPr>
          <w:color w:val="FF0000"/>
          <w:sz w:val="28"/>
          <w:u w:val="single"/>
        </w:rPr>
        <w:t xml:space="preserve">  </w:t>
      </w:r>
      <w:r>
        <w:rPr>
          <w:rFonts w:hint="eastAsia"/>
          <w:color w:val="FF0000"/>
          <w:sz w:val="28"/>
          <w:u w:val="single"/>
          <w:lang w:val="en-US" w:eastAsia="zh-CN"/>
        </w:rPr>
        <w:t xml:space="preserve">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  <w:u w:val="single" w:color="E36C09"/>
        </w:rPr>
      </w:pPr>
      <w:r>
        <w:rPr>
          <w:rFonts w:hAnsi="黑体" w:eastAsia="黑体"/>
          <w:sz w:val="28"/>
        </w:rPr>
        <w:t>项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目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类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型</w:t>
      </w:r>
      <w:r>
        <w:rPr>
          <w:sz w:val="28"/>
        </w:rPr>
        <w:t>：</w:t>
      </w:r>
      <w:r>
        <w:rPr>
          <w:rFonts w:hint="eastAsia"/>
          <w:color w:val="E36C09"/>
          <w:sz w:val="28"/>
          <w:u w:val="single"/>
          <w:lang w:val="en-US" w:eastAsia="zh-CN"/>
        </w:rPr>
        <w:t xml:space="preserve">     </w:t>
      </w:r>
      <w:r>
        <w:rPr>
          <w:rFonts w:hint="eastAsia"/>
          <w:color w:val="FF0000"/>
          <w:sz w:val="28"/>
          <w:u w:val="single"/>
          <w:lang w:val="en-US" w:eastAsia="zh-CN"/>
        </w:rPr>
        <w:t xml:space="preserve">“互联网+”内容 </w:t>
      </w:r>
      <w:r>
        <w:rPr>
          <w:rFonts w:hint="eastAsia"/>
          <w:sz w:val="28"/>
          <w:u w:val="single" w:color="E36C09"/>
          <w:lang w:val="en-US" w:eastAsia="zh-CN"/>
        </w:rPr>
        <w:t xml:space="preserve">            </w:t>
      </w:r>
    </w:p>
    <w:p>
      <w:pPr>
        <w:ind w:firstLine="1120" w:firstLineChars="400"/>
        <w:rPr>
          <w:rFonts w:hint="eastAsia"/>
          <w:sz w:val="28"/>
          <w:lang w:val="en-US" w:eastAsia="zh-CN"/>
        </w:rPr>
      </w:pPr>
    </w:p>
    <w:p>
      <w:pPr>
        <w:ind w:firstLine="1120" w:firstLineChars="400"/>
        <w:rPr>
          <w:rFonts w:hint="eastAsia"/>
          <w:color w:val="FF0000"/>
          <w:sz w:val="28"/>
          <w:u w:val="single"/>
          <w:lang w:val="en-US" w:eastAsia="zh-CN"/>
        </w:rPr>
      </w:pPr>
      <w:r>
        <w:rPr>
          <w:rFonts w:hint="eastAsia" w:hAnsi="黑体" w:eastAsia="黑体"/>
          <w:sz w:val="28"/>
          <w:lang w:val="en-US" w:eastAsia="zh-CN"/>
        </w:rPr>
        <w:t>参 赛 组 别：</w:t>
      </w:r>
      <w:r>
        <w:rPr>
          <w:color w:val="E36C09"/>
          <w:sz w:val="28"/>
          <w:u w:val="single"/>
        </w:rPr>
        <w:t xml:space="preserve"> </w:t>
      </w:r>
      <w:r>
        <w:rPr>
          <w:rFonts w:hint="eastAsia"/>
          <w:color w:val="E36C09"/>
          <w:sz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color w:val="FF0000"/>
          <w:sz w:val="21"/>
          <w:szCs w:val="21"/>
          <w:u w:val="single"/>
          <w:lang w:val="en-US" w:eastAsia="zh-CN"/>
        </w:rPr>
        <w:t xml:space="preserve">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>
      <w:pPr>
        <w:rPr>
          <w:sz w:val="28"/>
        </w:rPr>
      </w:pPr>
      <w:r>
        <w:rPr>
          <w:rFonts w:hint="eastAsia" w:hAnsi="黑体" w:eastAsia="黑体"/>
          <w:sz w:val="28"/>
          <w:lang w:val="en-US" w:eastAsia="zh-CN"/>
        </w:rPr>
        <w:t xml:space="preserve">       </w:t>
      </w:r>
      <w:r>
        <w:rPr>
          <w:rFonts w:hint="eastAsia" w:hAnsi="黑体" w:eastAsia="黑体"/>
          <w:w w:val="80"/>
          <w:sz w:val="28"/>
          <w:lang w:val="en-US" w:eastAsia="zh-CN"/>
        </w:rPr>
        <w:t xml:space="preserve"> 项 目 负 责 人</w:t>
      </w:r>
      <w:r>
        <w:rPr>
          <w:sz w:val="28"/>
        </w:rPr>
        <w:t>：</w:t>
      </w:r>
      <w:r>
        <w:rPr>
          <w:color w:val="E36C09"/>
          <w:sz w:val="28"/>
          <w:u w:val="single" w:color="000000"/>
        </w:rPr>
        <w:t xml:space="preserve"> </w:t>
      </w:r>
      <w:r>
        <w:rPr>
          <w:rFonts w:hint="eastAsia"/>
          <w:color w:val="E36C09"/>
          <w:sz w:val="28"/>
          <w:u w:val="single" w:color="000000"/>
          <w:lang w:val="en-US" w:eastAsia="zh-CN"/>
        </w:rPr>
        <w:t xml:space="preserve"> 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int="eastAsia" w:hAnsi="黑体" w:eastAsia="黑体"/>
          <w:sz w:val="28"/>
          <w:lang w:val="en-US" w:eastAsia="zh-CN"/>
        </w:rPr>
        <w:t>指 导 教 师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 w:hAnsi="黑体" w:eastAsia="黑体"/>
          <w:sz w:val="28"/>
          <w:lang w:val="en-US" w:eastAsia="zh-CN"/>
        </w:rPr>
        <w:t>所</w:t>
      </w:r>
      <w:r>
        <w:rPr>
          <w:rFonts w:hint="eastAsia" w:hAnsi="黑体" w:eastAsia="黑体"/>
          <w:sz w:val="28"/>
        </w:rPr>
        <w:t xml:space="preserve"> </w:t>
      </w:r>
      <w:r>
        <w:rPr>
          <w:rFonts w:hint="eastAsia" w:hAnsi="黑体" w:eastAsia="黑体"/>
          <w:sz w:val="28"/>
          <w:lang w:val="en-US" w:eastAsia="zh-CN"/>
        </w:rPr>
        <w:t>在</w:t>
      </w:r>
      <w:r>
        <w:rPr>
          <w:rFonts w:hint="eastAsia" w:hAnsi="黑体" w:eastAsia="黑体"/>
          <w:sz w:val="28"/>
        </w:rPr>
        <w:t xml:space="preserve"> </w:t>
      </w:r>
      <w:r>
        <w:rPr>
          <w:rFonts w:hint="eastAsia" w:hAnsi="黑体" w:eastAsia="黑体"/>
          <w:sz w:val="28"/>
          <w:lang w:val="en-US" w:eastAsia="zh-CN"/>
        </w:rPr>
        <w:t>学 院：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</w:t>
      </w:r>
    </w:p>
    <w:p>
      <w:pPr>
        <w:ind w:firstLine="1120" w:firstLineChars="400"/>
        <w:rPr>
          <w:rFonts w:hAnsi="黑体" w:eastAsia="黑体"/>
          <w:sz w:val="28"/>
        </w:rPr>
      </w:pPr>
    </w:p>
    <w:p>
      <w:pPr>
        <w:ind w:firstLine="1120" w:firstLineChars="400"/>
        <w:rPr>
          <w:sz w:val="24"/>
          <w:u w:val="single"/>
        </w:rPr>
      </w:pPr>
      <w:r>
        <w:rPr>
          <w:rFonts w:hAnsi="黑体" w:eastAsia="黑体"/>
          <w:sz w:val="28"/>
        </w:rPr>
        <w:t>申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期：</w:t>
      </w:r>
      <w:r>
        <w:rPr>
          <w:sz w:val="28"/>
          <w:u w:val="single"/>
        </w:rPr>
        <w:t xml:space="preserve">          </w:t>
      </w:r>
      <w:r>
        <w:rPr>
          <w:rFonts w:hint="eastAsia" w:eastAsia="黑体"/>
          <w:sz w:val="28"/>
          <w:u w:val="single"/>
          <w:lang w:val="en-US" w:eastAsia="zh-CN"/>
        </w:rPr>
        <w:t xml:space="preserve"> </w:t>
      </w:r>
      <w:r>
        <w:rPr>
          <w:rFonts w:eastAsia="黑体"/>
          <w:sz w:val="28"/>
          <w:u w:val="single"/>
        </w:rPr>
        <w:t xml:space="preserve">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</w:p>
    <w:p>
      <w:pPr>
        <w:ind w:firstLine="960" w:firstLineChars="400"/>
        <w:rPr>
          <w:sz w:val="24"/>
          <w:u w:val="single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                </w:t>
      </w:r>
    </w:p>
    <w:p>
      <w:pPr>
        <w:rPr>
          <w:sz w:val="28"/>
        </w:rPr>
      </w:pPr>
    </w:p>
    <w:p>
      <w:pPr>
        <w:rPr>
          <w:color w:val="FF0000"/>
          <w:sz w:val="28"/>
        </w:rPr>
      </w:pPr>
      <w:r>
        <w:rPr>
          <w:color w:val="FF0000"/>
          <w:sz w:val="28"/>
        </w:rPr>
        <w:t xml:space="preserve"> </w:t>
      </w:r>
      <w:r>
        <w:rPr>
          <w:rFonts w:hint="eastAsia"/>
          <w:color w:val="FF0000"/>
          <w:sz w:val="28"/>
          <w:lang w:val="en-US" w:eastAsia="zh-CN"/>
        </w:rPr>
        <w:t>备注：</w:t>
      </w:r>
      <w:r>
        <w:rPr>
          <w:rFonts w:hint="eastAsia"/>
          <w:color w:val="FF0000"/>
          <w:sz w:val="28"/>
        </w:rPr>
        <w:t>各项目团队在编写项目计划书时，可以在此模板内容的基础上</w:t>
      </w:r>
      <w:r>
        <w:rPr>
          <w:rFonts w:hint="eastAsia"/>
          <w:color w:val="FF0000"/>
          <w:sz w:val="28"/>
          <w:lang w:eastAsia="zh-CN"/>
        </w:rPr>
        <w:t>根据参赛团队选择的赛道和组别的评审要求</w:t>
      </w:r>
      <w:r>
        <w:rPr>
          <w:rFonts w:hint="eastAsia"/>
          <w:color w:val="FF0000"/>
          <w:sz w:val="28"/>
        </w:rPr>
        <w:t>增添</w:t>
      </w:r>
      <w:r>
        <w:rPr>
          <w:rFonts w:hint="eastAsia"/>
          <w:color w:val="FF0000"/>
          <w:sz w:val="28"/>
          <w:lang w:eastAsia="zh-CN"/>
        </w:rPr>
        <w:t>或删减</w:t>
      </w:r>
      <w:r>
        <w:rPr>
          <w:rFonts w:hint="eastAsia"/>
          <w:color w:val="FF0000"/>
          <w:sz w:val="28"/>
        </w:rPr>
        <w:t>相关内容</w:t>
      </w:r>
      <w:r>
        <w:rPr>
          <w:rFonts w:hint="eastAsia"/>
          <w:color w:val="FF0000"/>
          <w:sz w:val="28"/>
          <w:lang w:eastAsia="zh-CN"/>
        </w:rPr>
        <w:t>，</w:t>
      </w:r>
      <w:r>
        <w:rPr>
          <w:rFonts w:hint="eastAsia"/>
          <w:color w:val="FF0000"/>
          <w:sz w:val="28"/>
          <w:lang w:val="en-US" w:eastAsia="zh-CN"/>
        </w:rPr>
        <w:t>填写完成后请将所有红字部分</w:t>
      </w:r>
      <w:r>
        <w:rPr>
          <w:rFonts w:hint="eastAsia"/>
          <w:b/>
          <w:bCs/>
          <w:color w:val="0000FF"/>
          <w:sz w:val="28"/>
          <w:lang w:val="en-US" w:eastAsia="zh-CN"/>
        </w:rPr>
        <w:t>删除</w:t>
      </w:r>
      <w:r>
        <w:rPr>
          <w:rFonts w:hint="eastAsia"/>
          <w:color w:val="FF0000"/>
          <w:sz w:val="28"/>
          <w:lang w:val="en-US" w:eastAsia="zh-CN"/>
        </w:rPr>
        <w:t>。</w:t>
      </w:r>
    </w:p>
    <w:p>
      <w:pPr>
        <w:ind w:firstLine="3213" w:firstLineChars="1000"/>
        <w:rPr>
          <w:rFonts w:hAnsi="黑体" w:eastAsia="黑体"/>
          <w:b/>
          <w:sz w:val="32"/>
          <w:szCs w:val="32"/>
        </w:rPr>
      </w:pPr>
      <w:r>
        <w:rPr>
          <w:rFonts w:hAnsi="黑体" w:eastAsia="黑体"/>
          <w:b/>
          <w:sz w:val="32"/>
          <w:szCs w:val="32"/>
        </w:rPr>
        <w:t>目</w:t>
      </w:r>
      <w:r>
        <w:rPr>
          <w:rFonts w:eastAsia="黑体"/>
          <w:b/>
          <w:sz w:val="32"/>
          <w:szCs w:val="32"/>
        </w:rPr>
        <w:t xml:space="preserve"> </w:t>
      </w:r>
      <w:r>
        <w:rPr>
          <w:rFonts w:hAnsi="黑体" w:eastAsia="黑体"/>
          <w:b/>
          <w:sz w:val="32"/>
          <w:szCs w:val="32"/>
        </w:rPr>
        <w:t>录</w:t>
      </w:r>
      <w:r>
        <w:rPr>
          <w:rFonts w:eastAsia="黑体"/>
          <w:b/>
          <w:color w:val="FF0000"/>
          <w:sz w:val="32"/>
          <w:szCs w:val="32"/>
        </w:rPr>
        <w:t>(</w:t>
      </w:r>
      <w:r>
        <w:rPr>
          <w:rFonts w:hAnsi="黑体" w:eastAsia="黑体"/>
          <w:b/>
          <w:color w:val="FF0000"/>
          <w:sz w:val="32"/>
          <w:szCs w:val="32"/>
        </w:rPr>
        <w:t>黑体三号</w:t>
      </w:r>
      <w:r>
        <w:rPr>
          <w:rFonts w:eastAsia="黑体"/>
          <w:b/>
          <w:color w:val="FF0000"/>
          <w:sz w:val="32"/>
          <w:szCs w:val="32"/>
        </w:rPr>
        <w:t>)</w:t>
      </w:r>
    </w:p>
    <w:p>
      <w:pPr>
        <w:rPr>
          <w:rFonts w:hint="eastAsia"/>
          <w:sz w:val="28"/>
        </w:rPr>
      </w:pPr>
    </w:p>
    <w:p>
      <w:pPr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自动生成目录到三级标题，宋体，5号，单倍行距，一级标题段前断后0.5行</w:t>
      </w:r>
    </w:p>
    <w:p>
      <w:pPr>
        <w:spacing w:before="120" w:beforeLines="50" w:after="120" w:afterLines="50"/>
        <w:rPr>
          <w:rFonts w:eastAsia="黑体"/>
          <w:sz w:val="28"/>
        </w:rPr>
      </w:pPr>
      <w:r>
        <w:rPr>
          <w:rFonts w:hint="eastAsia"/>
          <w:color w:val="FF0000"/>
          <w:sz w:val="28"/>
          <w:u w:val="single"/>
          <w:lang w:eastAsia="zh-CN"/>
        </w:rPr>
        <w:t>（</w:t>
      </w:r>
      <w:r>
        <w:rPr>
          <w:rFonts w:hint="eastAsia"/>
          <w:color w:val="FF0000"/>
          <w:sz w:val="28"/>
          <w:u w:val="single"/>
          <w:lang w:val="en-US" w:eastAsia="zh-CN"/>
        </w:rPr>
        <w:t>）</w:t>
      </w:r>
    </w:p>
    <w:p>
      <w:pPr>
        <w:spacing w:before="120" w:beforeLines="50" w:after="120" w:afterLine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二级标题、三级标题依次缩进2字符</w:t>
      </w:r>
    </w:p>
    <w:p>
      <w:pPr>
        <w:spacing w:before="120" w:beforeLines="50" w:after="120" w:afterLines="50"/>
        <w:ind w:firstLine="140" w:firstLineChars="50"/>
        <w:rPr>
          <w:rFonts w:eastAsia="黑体"/>
          <w:sz w:val="28"/>
        </w:rPr>
      </w:pPr>
    </w:p>
    <w:p>
      <w:pPr>
        <w:rPr>
          <w:rFonts w:hint="eastAsia"/>
          <w:color w:val="FF0000"/>
          <w:sz w:val="28"/>
        </w:rPr>
      </w:pPr>
      <w:r>
        <w:rPr>
          <w:rFonts w:hint="eastAsia"/>
          <w:color w:val="FF0000"/>
          <w:sz w:val="28"/>
        </w:rPr>
        <w:t>（</w:t>
      </w:r>
      <w:r>
        <w:rPr>
          <w:color w:val="FF0000"/>
          <w:sz w:val="28"/>
        </w:rPr>
        <w:t>目录页无页码，从正文开始编页码</w:t>
      </w:r>
      <w:r>
        <w:rPr>
          <w:rFonts w:hint="eastAsia"/>
          <w:color w:val="FF0000"/>
          <w:sz w:val="28"/>
        </w:rPr>
        <w:t>）</w:t>
      </w: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</w:pPr>
    </w:p>
    <w:p>
      <w:pPr>
        <w:rPr>
          <w:rFonts w:hint="eastAsia"/>
          <w:color w:val="FF0000"/>
          <w:sz w:val="28"/>
        </w:rPr>
        <w:sectPr>
          <w:headerReference r:id="rId3" w:type="default"/>
          <w:pgSz w:w="11906" w:h="16838"/>
          <w:pgMar w:top="1418" w:right="1474" w:bottom="1418" w:left="1588" w:header="851" w:footer="1701" w:gutter="0"/>
          <w:cols w:space="720" w:num="1"/>
          <w:docGrid w:linePitch="312" w:charSpace="0"/>
        </w:sectPr>
      </w:pPr>
    </w:p>
    <w:tbl>
      <w:tblPr>
        <w:tblStyle w:val="8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276"/>
        <w:gridCol w:w="1276"/>
        <w:gridCol w:w="1903"/>
        <w:gridCol w:w="123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8553" w:type="dxa"/>
            <w:gridSpan w:val="6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eastAsia="zh-CN"/>
              </w:rPr>
              <w:t>院</w:t>
            </w:r>
            <w:r>
              <w:rPr>
                <w:rFonts w:hint="eastAsia"/>
              </w:rPr>
              <w:t>/学历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团队分工</w:t>
            </w: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手机</w:t>
            </w:r>
            <w:r>
              <w:rPr>
                <w:rFonts w:hint="eastAsia"/>
                <w:lang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296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</w:pPr>
          </w:p>
        </w:tc>
      </w:tr>
    </w:tbl>
    <w:p>
      <w:pPr>
        <w:spacing w:after="156" w:afterLines="50" w:line="360" w:lineRule="auto"/>
        <w:rPr>
          <w:rFonts w:hAnsi="宋体"/>
          <w:b/>
          <w:sz w:val="28"/>
          <w:szCs w:val="28"/>
        </w:rPr>
      </w:pPr>
    </w:p>
    <w:p>
      <w:pPr>
        <w:spacing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一、项目概述(800字以内)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从市场分析及定位、产品介绍、商业模式、营销策略、财务分析、团队介绍、其他说明等方面阐述。</w:t>
      </w:r>
    </w:p>
    <w:p>
      <w:pPr>
        <w:spacing w:before="156" w:beforeLines="50" w:after="156" w:afterLines="50" w:line="360" w:lineRule="auto"/>
        <w:rPr>
          <w:b/>
          <w:sz w:val="24"/>
        </w:rPr>
      </w:pPr>
      <w:r>
        <w:rPr>
          <w:rFonts w:hAnsi="宋体"/>
          <w:b/>
          <w:sz w:val="24"/>
        </w:rPr>
        <w:t>二、</w:t>
      </w:r>
      <w:r>
        <w:rPr>
          <w:rFonts w:hint="eastAsia" w:hAnsi="宋体"/>
          <w:b/>
          <w:sz w:val="24"/>
          <w:lang w:val="en-US" w:eastAsia="zh-CN"/>
        </w:rPr>
        <w:t>团队或</w:t>
      </w:r>
      <w:r>
        <w:rPr>
          <w:rFonts w:hAnsi="宋体"/>
          <w:b/>
          <w:sz w:val="24"/>
        </w:rPr>
        <w:t>公司简介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2.1</w:t>
      </w:r>
      <w:r>
        <w:rPr>
          <w:rFonts w:hint="eastAsia" w:hAnsi="宋体"/>
          <w:b/>
          <w:sz w:val="24"/>
          <w:lang w:val="en-US" w:eastAsia="zh-CN"/>
        </w:rPr>
        <w:t>团队或</w:t>
      </w:r>
      <w:r>
        <w:rPr>
          <w:rFonts w:hAnsi="宋体"/>
          <w:b/>
          <w:sz w:val="24"/>
        </w:rPr>
        <w:t>公司概述</w:t>
      </w:r>
      <w:r>
        <w:rPr>
          <w:rFonts w:hAnsi="宋体"/>
          <w:sz w:val="24"/>
        </w:rPr>
        <w:t>（包括</w:t>
      </w:r>
      <w:r>
        <w:rPr>
          <w:rFonts w:hint="eastAsia" w:hAnsi="宋体"/>
          <w:sz w:val="24"/>
          <w:lang w:val="en-US" w:eastAsia="zh-CN"/>
        </w:rPr>
        <w:t>团队或</w:t>
      </w:r>
      <w:r>
        <w:rPr>
          <w:rFonts w:hAnsi="宋体"/>
          <w:sz w:val="24"/>
        </w:rPr>
        <w:t>公司</w:t>
      </w:r>
      <w:r>
        <w:rPr>
          <w:sz w:val="24"/>
        </w:rPr>
        <w:t>logo</w:t>
      </w:r>
      <w:r>
        <w:rPr>
          <w:rFonts w:hAnsi="宋体"/>
          <w:sz w:val="24"/>
        </w:rPr>
        <w:t>的介绍以及</w:t>
      </w:r>
      <w:r>
        <w:rPr>
          <w:rFonts w:hint="eastAsia" w:hAnsi="宋体"/>
          <w:sz w:val="24"/>
          <w:lang w:val="en-US" w:eastAsia="zh-CN"/>
        </w:rPr>
        <w:t>团队或</w:t>
      </w:r>
      <w:r>
        <w:rPr>
          <w:rFonts w:hAnsi="宋体"/>
          <w:sz w:val="24"/>
        </w:rPr>
        <w:t>公司的经营理念等）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2.2</w:t>
      </w:r>
      <w:r>
        <w:rPr>
          <w:rFonts w:hint="eastAsia" w:hAnsi="宋体"/>
          <w:b/>
          <w:sz w:val="24"/>
          <w:lang w:val="en-US" w:eastAsia="zh-CN"/>
        </w:rPr>
        <w:t>团队或</w:t>
      </w:r>
      <w:r>
        <w:rPr>
          <w:rFonts w:hAnsi="宋体"/>
          <w:b/>
          <w:sz w:val="24"/>
        </w:rPr>
        <w:t>公司现状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Ansi="宋体"/>
          <w:b/>
          <w:sz w:val="24"/>
        </w:rPr>
        <w:t>发展规划</w:t>
      </w:r>
    </w:p>
    <w:p>
      <w:pPr>
        <w:spacing w:before="156" w:beforeLines="50" w:after="156" w:afterLines="50" w:line="360" w:lineRule="auto"/>
        <w:rPr>
          <w:rFonts w:hint="eastAsia" w:hAnsi="宋体" w:eastAsia="宋体"/>
          <w:b/>
          <w:sz w:val="28"/>
          <w:szCs w:val="28"/>
          <w:lang w:eastAsia="zh-CN"/>
        </w:rPr>
      </w:pPr>
      <w:r>
        <w:rPr>
          <w:rFonts w:hAnsi="宋体"/>
          <w:b/>
          <w:sz w:val="28"/>
          <w:szCs w:val="28"/>
        </w:rPr>
        <w:t>三、产品与</w:t>
      </w:r>
      <w:r>
        <w:rPr>
          <w:rFonts w:hint="eastAsia" w:hAnsi="宋体"/>
          <w:b/>
          <w:sz w:val="28"/>
          <w:szCs w:val="28"/>
          <w:lang w:eastAsia="zh-CN"/>
        </w:rPr>
        <w:t>技术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3.1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服务介绍</w:t>
      </w:r>
    </w:p>
    <w:p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3.1.1 产品研发背景</w:t>
      </w:r>
    </w:p>
    <w:p>
      <w:pPr>
        <w:spacing w:line="360" w:lineRule="auto"/>
        <w:rPr>
          <w:sz w:val="24"/>
        </w:rPr>
      </w:pPr>
      <w:r>
        <w:rPr>
          <w:sz w:val="24"/>
        </w:rPr>
        <w:t>3.1.</w:t>
      </w:r>
      <w:r>
        <w:rPr>
          <w:rFonts w:hint="eastAsia"/>
          <w:sz w:val="24"/>
          <w:lang w:val="en-US" w:eastAsia="zh-CN"/>
        </w:rPr>
        <w:t>2</w:t>
      </w:r>
      <w:r>
        <w:rPr>
          <w:rFonts w:hAnsi="宋体"/>
          <w:sz w:val="24"/>
        </w:rPr>
        <w:t>产品的用途、功能</w:t>
      </w:r>
    </w:p>
    <w:p>
      <w:pPr>
        <w:spacing w:line="360" w:lineRule="auto"/>
        <w:rPr>
          <w:sz w:val="24"/>
        </w:rPr>
      </w:pPr>
      <w:r>
        <w:rPr>
          <w:sz w:val="24"/>
        </w:rPr>
        <w:t>3.1.3</w:t>
      </w:r>
      <w:r>
        <w:rPr>
          <w:rFonts w:hint="eastAsia" w:hAnsi="宋体"/>
          <w:sz w:val="24"/>
          <w:lang w:eastAsia="zh-CN"/>
        </w:rPr>
        <w:t>产品</w:t>
      </w:r>
      <w:r>
        <w:rPr>
          <w:rFonts w:hAnsi="宋体"/>
          <w:sz w:val="24"/>
        </w:rPr>
        <w:t>定位</w:t>
      </w:r>
    </w:p>
    <w:p>
      <w:pPr>
        <w:spacing w:line="360" w:lineRule="auto"/>
        <w:rPr>
          <w:sz w:val="24"/>
        </w:rPr>
      </w:pPr>
      <w:r>
        <w:rPr>
          <w:sz w:val="24"/>
        </w:rPr>
        <w:t>3.1.4</w:t>
      </w:r>
      <w:r>
        <w:rPr>
          <w:rFonts w:hAnsi="宋体"/>
          <w:sz w:val="24"/>
        </w:rPr>
        <w:t>客户价值</w:t>
      </w:r>
    </w:p>
    <w:p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>3.2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服务特色优势</w:t>
      </w:r>
      <w:r>
        <w:rPr>
          <w:rFonts w:hAnsi="宋体"/>
          <w:b/>
          <w:bCs/>
          <w:sz w:val="24"/>
        </w:rPr>
        <w:t>（新颖性、先进性和独特性，竞争优势）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3.2.1</w:t>
      </w:r>
      <w:r>
        <w:rPr>
          <w:rFonts w:hAnsi="宋体"/>
          <w:bCs/>
          <w:sz w:val="24"/>
        </w:rPr>
        <w:t>新颖性（先进性、独特性）</w:t>
      </w:r>
    </w:p>
    <w:p>
      <w:pPr>
        <w:spacing w:line="360" w:lineRule="auto"/>
        <w:rPr>
          <w:rFonts w:hAnsi="宋体"/>
          <w:bCs/>
          <w:sz w:val="24"/>
        </w:rPr>
      </w:pPr>
      <w:r>
        <w:rPr>
          <w:bCs/>
          <w:sz w:val="24"/>
        </w:rPr>
        <w:t>3.2.2</w:t>
      </w:r>
      <w:r>
        <w:rPr>
          <w:rFonts w:hAnsi="宋体"/>
          <w:bCs/>
          <w:sz w:val="24"/>
        </w:rPr>
        <w:t>竞争优势</w:t>
      </w:r>
    </w:p>
    <w:p>
      <w:pPr>
        <w:spacing w:line="360" w:lineRule="auto"/>
        <w:rPr>
          <w:rFonts w:hint="default" w:hAnsi="宋体" w:eastAsia="宋体"/>
          <w:bCs/>
          <w:sz w:val="24"/>
          <w:lang w:val="en-US" w:eastAsia="zh-CN"/>
        </w:rPr>
      </w:pPr>
      <w:r>
        <w:rPr>
          <w:rFonts w:hint="eastAsia" w:hAnsi="宋体"/>
          <w:bCs/>
          <w:sz w:val="24"/>
          <w:lang w:val="en-US" w:eastAsia="zh-CN"/>
        </w:rPr>
        <w:t>3.2.3 技术壁垒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3.3.</w:t>
      </w:r>
      <w:r>
        <w:rPr>
          <w:rFonts w:hAnsi="宋体"/>
          <w:b/>
          <w:sz w:val="24"/>
        </w:rPr>
        <w:t>技术研发水平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3.3.1</w:t>
      </w:r>
      <w:r>
        <w:rPr>
          <w:rFonts w:hAnsi="宋体"/>
          <w:bCs/>
          <w:sz w:val="24"/>
        </w:rPr>
        <w:t>项目研究内容，已有技术成果（或实施背景、基础）及指标</w:t>
      </w:r>
    </w:p>
    <w:p>
      <w:pPr>
        <w:autoSpaceDE w:val="0"/>
        <w:autoSpaceDN w:val="0"/>
        <w:spacing w:line="360" w:lineRule="auto"/>
        <w:rPr>
          <w:szCs w:val="21"/>
        </w:rPr>
      </w:pPr>
      <w:r>
        <w:rPr>
          <w:sz w:val="24"/>
        </w:rPr>
        <w:t xml:space="preserve">3.3.2 </w:t>
      </w:r>
      <w:r>
        <w:rPr>
          <w:rFonts w:hAnsi="宋体"/>
          <w:szCs w:val="21"/>
        </w:rPr>
        <w:t>项目实施的技术方案（包括技术路线、工艺的合理性及成熟性）</w:t>
      </w:r>
    </w:p>
    <w:p>
      <w:pPr>
        <w:spacing w:line="360" w:lineRule="auto"/>
        <w:rPr>
          <w:sz w:val="24"/>
        </w:rPr>
      </w:pPr>
      <w:r>
        <w:rPr>
          <w:sz w:val="24"/>
        </w:rPr>
        <w:t>3.3.3</w:t>
      </w:r>
      <w:r>
        <w:rPr>
          <w:rFonts w:hAnsi="宋体"/>
          <w:sz w:val="24"/>
        </w:rPr>
        <w:t>项目的关键技术、创新点</w:t>
      </w:r>
    </w:p>
    <w:p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3.4知识产权情况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四、产业化程度(已注册企业填写)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4.1</w:t>
      </w:r>
      <w:r>
        <w:rPr>
          <w:rFonts w:hAnsi="宋体"/>
          <w:b/>
          <w:sz w:val="24"/>
        </w:rPr>
        <w:t>目前产业化进展</w:t>
      </w:r>
      <w:r>
        <w:rPr>
          <w:rFonts w:hAnsi="宋体"/>
          <w:sz w:val="24"/>
        </w:rPr>
        <w:t>（阶段性成果描述）</w:t>
      </w:r>
    </w:p>
    <w:p>
      <w:pPr>
        <w:spacing w:line="360" w:lineRule="auto"/>
        <w:rPr>
          <w:bCs/>
          <w:sz w:val="24"/>
        </w:rPr>
      </w:pPr>
      <w:r>
        <w:rPr>
          <w:b/>
          <w:sz w:val="24"/>
        </w:rPr>
        <w:t xml:space="preserve">4.2 </w:t>
      </w:r>
      <w:r>
        <w:rPr>
          <w:rFonts w:hAnsi="宋体"/>
          <w:b/>
          <w:sz w:val="24"/>
        </w:rPr>
        <w:t>已具备的产业化条件</w:t>
      </w:r>
      <w:r>
        <w:rPr>
          <w:rFonts w:hAnsi="宋体"/>
          <w:bCs/>
          <w:sz w:val="24"/>
        </w:rPr>
        <w:t>（设备、技术、场地、人才、合作等）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4.3</w:t>
      </w:r>
      <w:r>
        <w:rPr>
          <w:rFonts w:hAnsi="宋体"/>
          <w:b/>
          <w:sz w:val="24"/>
        </w:rPr>
        <w:t>未来产业化进程</w:t>
      </w:r>
      <w:r>
        <w:rPr>
          <w:rFonts w:hAnsi="宋体"/>
          <w:bCs/>
          <w:sz w:val="24"/>
        </w:rPr>
        <w:t>（</w:t>
      </w:r>
      <w:r>
        <w:rPr>
          <w:rFonts w:hAnsi="宋体"/>
          <w:bCs/>
        </w:rPr>
        <w:t>分年度目标及前景分析）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五、市场营销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b/>
          <w:kern w:val="0"/>
          <w:sz w:val="24"/>
        </w:rPr>
        <w:t xml:space="preserve">5.1 </w:t>
      </w:r>
      <w:r>
        <w:rPr>
          <w:rFonts w:hAnsi="宋体"/>
          <w:b/>
          <w:kern w:val="0"/>
          <w:sz w:val="24"/>
        </w:rPr>
        <w:t>市场分析（</w:t>
      </w:r>
      <w:r>
        <w:rPr>
          <w:rFonts w:hAnsi="宋体"/>
          <w:kern w:val="0"/>
          <w:sz w:val="24"/>
        </w:rPr>
        <w:t>行业背景、现有市场规模及增长趋势等）</w:t>
      </w:r>
    </w:p>
    <w:p>
      <w:pPr>
        <w:snapToGrid w:val="0"/>
        <w:spacing w:line="360" w:lineRule="auto"/>
        <w:rPr>
          <w:rStyle w:val="12"/>
          <w:rFonts w:ascii="Times New Roman" w:hAnsi="Times New Roman" w:eastAsia="宋体"/>
          <w:b w:val="0"/>
          <w:sz w:val="24"/>
          <w:szCs w:val="24"/>
        </w:rPr>
      </w:pPr>
      <w:r>
        <w:rPr>
          <w:rStyle w:val="12"/>
          <w:rFonts w:ascii="Times New Roman" w:hAnsi="Times New Roman" w:eastAsia="宋体"/>
          <w:sz w:val="24"/>
          <w:szCs w:val="24"/>
        </w:rPr>
        <w:t xml:space="preserve">5.2 </w:t>
      </w:r>
      <w:r>
        <w:rPr>
          <w:rStyle w:val="12"/>
          <w:rFonts w:ascii="Times New Roman" w:hAnsi="宋体" w:eastAsia="宋体"/>
          <w:sz w:val="24"/>
          <w:szCs w:val="24"/>
        </w:rPr>
        <w:t>市场定位</w:t>
      </w:r>
      <w:r>
        <w:rPr>
          <w:rStyle w:val="12"/>
          <w:rFonts w:ascii="Times New Roman" w:hAnsi="宋体" w:eastAsia="宋体"/>
          <w:b w:val="0"/>
          <w:sz w:val="24"/>
          <w:szCs w:val="24"/>
        </w:rPr>
        <w:t>（地域、产业链、市场占有率等分析）</w:t>
      </w:r>
    </w:p>
    <w:p>
      <w:pPr>
        <w:snapToGrid w:val="0"/>
        <w:spacing w:line="360" w:lineRule="auto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5.3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b/>
          <w:bCs/>
          <w:kern w:val="0"/>
          <w:sz w:val="24"/>
        </w:rPr>
        <w:t>SWOT分析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5.3.1 优势（Strengths）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5.3.2 </w:t>
      </w:r>
      <w:r>
        <w:rPr>
          <w:rFonts w:hAnsi="宋体"/>
          <w:kern w:val="0"/>
          <w:sz w:val="24"/>
        </w:rPr>
        <w:t>劣势（</w:t>
      </w:r>
      <w:r>
        <w:rPr>
          <w:kern w:val="0"/>
          <w:sz w:val="24"/>
        </w:rPr>
        <w:t>Weakness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5.3.3 </w:t>
      </w:r>
      <w:r>
        <w:rPr>
          <w:rFonts w:hAnsi="宋体"/>
          <w:kern w:val="0"/>
          <w:sz w:val="24"/>
        </w:rPr>
        <w:t>机会（</w:t>
      </w:r>
      <w:r>
        <w:rPr>
          <w:kern w:val="0"/>
          <w:sz w:val="24"/>
        </w:rPr>
        <w:t>Opportunity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5.3.4 </w:t>
      </w:r>
      <w:r>
        <w:rPr>
          <w:rFonts w:hAnsi="宋体"/>
          <w:kern w:val="0"/>
          <w:sz w:val="24"/>
        </w:rPr>
        <w:t>威胁（</w:t>
      </w:r>
      <w:r>
        <w:rPr>
          <w:kern w:val="0"/>
          <w:sz w:val="24"/>
        </w:rPr>
        <w:t>Threats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b/>
          <w:kern w:val="0"/>
          <w:sz w:val="24"/>
        </w:rPr>
        <w:t xml:space="preserve">5.4. </w:t>
      </w:r>
      <w:r>
        <w:rPr>
          <w:rFonts w:hAnsi="宋体"/>
          <w:b/>
          <w:kern w:val="0"/>
          <w:sz w:val="24"/>
        </w:rPr>
        <w:t>风险分析</w:t>
      </w:r>
      <w:r>
        <w:rPr>
          <w:rFonts w:hAnsi="宋体"/>
          <w:kern w:val="0"/>
          <w:sz w:val="24"/>
        </w:rPr>
        <w:t>（分析资金、技术、市场、环境、管理等存在的风险和规避方案）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5.4.1</w:t>
      </w:r>
      <w:r>
        <w:rPr>
          <w:rFonts w:hAnsi="宋体"/>
          <w:kern w:val="0"/>
          <w:sz w:val="24"/>
        </w:rPr>
        <w:t>资金风险及规避方案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5.4.2</w:t>
      </w:r>
      <w:r>
        <w:rPr>
          <w:rFonts w:hAnsi="宋体"/>
          <w:kern w:val="0"/>
          <w:sz w:val="24"/>
        </w:rPr>
        <w:t>技术风险及规避方案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5.4.3</w:t>
      </w:r>
      <w:r>
        <w:rPr>
          <w:rFonts w:hAnsi="宋体"/>
          <w:kern w:val="0"/>
          <w:sz w:val="24"/>
        </w:rPr>
        <w:t>市场风险及规避方案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5.4.4</w:t>
      </w:r>
      <w:r>
        <w:rPr>
          <w:rFonts w:hAnsi="宋体"/>
          <w:kern w:val="0"/>
          <w:sz w:val="24"/>
        </w:rPr>
        <w:t>环境风险及规避方案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5.4.5</w:t>
      </w:r>
      <w:r>
        <w:rPr>
          <w:rFonts w:hAnsi="宋体"/>
          <w:kern w:val="0"/>
          <w:sz w:val="24"/>
        </w:rPr>
        <w:t>管理风险及规避方案</w:t>
      </w:r>
    </w:p>
    <w:p>
      <w:pPr>
        <w:snapToGrid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5.5</w:t>
      </w:r>
      <w:r>
        <w:rPr>
          <w:rFonts w:hAnsi="宋体"/>
          <w:b/>
          <w:kern w:val="0"/>
          <w:sz w:val="24"/>
        </w:rPr>
        <w:t>营销策略</w:t>
      </w:r>
    </w:p>
    <w:p>
      <w:pPr>
        <w:snapToGrid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5.6</w:t>
      </w:r>
      <w:r>
        <w:rPr>
          <w:rFonts w:hAnsi="宋体"/>
          <w:b/>
          <w:kern w:val="0"/>
          <w:sz w:val="24"/>
        </w:rPr>
        <w:t>盈利方式</w:t>
      </w:r>
    </w:p>
    <w:p>
      <w:pPr>
        <w:snapToGrid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5.7</w:t>
      </w:r>
      <w:r>
        <w:rPr>
          <w:rFonts w:hAnsi="宋体"/>
          <w:b/>
          <w:kern w:val="0"/>
          <w:sz w:val="24"/>
        </w:rPr>
        <w:t>市场预测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六、发展战略</w:t>
      </w:r>
    </w:p>
    <w:p>
      <w:pPr>
        <w:snapToGrid w:val="0"/>
        <w:spacing w:line="360" w:lineRule="auto"/>
        <w:ind w:firstLine="480" w:firstLineChars="200"/>
        <w:jc w:val="left"/>
        <w:rPr>
          <w:kern w:val="0"/>
          <w:sz w:val="24"/>
        </w:rPr>
      </w:pPr>
      <w:r>
        <w:rPr>
          <w:rFonts w:hAnsi="宋体"/>
          <w:bCs/>
          <w:kern w:val="0"/>
          <w:sz w:val="24"/>
        </w:rPr>
        <w:t>（</w:t>
      </w:r>
      <w:r>
        <w:rPr>
          <w:rFonts w:hint="eastAsia" w:hAnsi="宋体"/>
          <w:bCs/>
          <w:kern w:val="0"/>
          <w:sz w:val="24"/>
          <w:lang w:val="en-US" w:eastAsia="zh-CN"/>
        </w:rPr>
        <w:t>团队或</w:t>
      </w:r>
      <w:r>
        <w:rPr>
          <w:rFonts w:hAnsi="宋体"/>
          <w:bCs/>
          <w:kern w:val="0"/>
          <w:sz w:val="24"/>
        </w:rPr>
        <w:t>企业愿景及三年规划目标（产品开发、技术提升、市场开拓、技术人才引进、平台建设、跨地域分布、产业链组建、研发</w:t>
      </w:r>
      <w:r>
        <w:rPr>
          <w:bCs/>
          <w:kern w:val="0"/>
          <w:sz w:val="24"/>
        </w:rPr>
        <w:t>/</w:t>
      </w:r>
      <w:r>
        <w:rPr>
          <w:rFonts w:hAnsi="宋体"/>
          <w:bCs/>
          <w:kern w:val="0"/>
          <w:sz w:val="24"/>
        </w:rPr>
        <w:t>产业化项目里程碑等）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七、商业模式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八、财务分析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8.1</w:t>
      </w:r>
      <w:r>
        <w:rPr>
          <w:rFonts w:hAnsi="宋体"/>
          <w:b/>
          <w:sz w:val="24"/>
        </w:rPr>
        <w:t>股本结构和规模</w:t>
      </w:r>
    </w:p>
    <w:p>
      <w:pPr>
        <w:spacing w:line="360" w:lineRule="auto"/>
        <w:ind w:firstLine="470" w:firstLineChars="196"/>
        <w:rPr>
          <w:rFonts w:hint="eastAsia" w:hAnsi="宋体"/>
          <w:sz w:val="24"/>
        </w:rPr>
      </w:pPr>
      <w:r>
        <w:rPr>
          <w:rFonts w:hAnsi="宋体"/>
          <w:sz w:val="24"/>
        </w:rPr>
        <w:t>根据公司财务预算，拟定公司注册资本为</w:t>
      </w:r>
      <w:r>
        <w:rPr>
          <w:sz w:val="24"/>
        </w:rPr>
        <w:t>XX</w:t>
      </w:r>
      <w:r>
        <w:rPr>
          <w:rFonts w:hAnsi="宋体"/>
          <w:sz w:val="24"/>
        </w:rPr>
        <w:t>万（可有风险投资部分）。股本结构和规模如表</w:t>
      </w:r>
      <w:r>
        <w:rPr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sz w:val="24"/>
        </w:rPr>
        <w:t>-1</w:t>
      </w:r>
      <w:r>
        <w:rPr>
          <w:rFonts w:hAnsi="宋体"/>
          <w:sz w:val="24"/>
        </w:rPr>
        <w:t>所示。</w:t>
      </w:r>
    </w:p>
    <w:p>
      <w:pPr>
        <w:jc w:val="center"/>
        <w:rPr>
          <w:rFonts w:hint="eastAsia" w:hAnsi="宋体"/>
          <w:szCs w:val="21"/>
        </w:rPr>
      </w:pPr>
    </w:p>
    <w:p>
      <w:pPr>
        <w:jc w:val="center"/>
        <w:rPr>
          <w:rFonts w:hint="eastAsia" w:hAnsi="宋体"/>
          <w:szCs w:val="21"/>
        </w:rPr>
      </w:pPr>
    </w:p>
    <w:p>
      <w:pPr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表 8-1 公司初始股权构成表</w:t>
      </w:r>
    </w:p>
    <w:tbl>
      <w:tblPr>
        <w:tblStyle w:val="7"/>
        <w:tblW w:w="8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44"/>
        <w:gridCol w:w="2268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2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102" w:firstLineChars="49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投资额（单位：万元）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投资比例（%）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308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93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308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93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308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93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308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hint="eastAsia" w:hAnsi="宋体"/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 w:hAnsi="宋体"/>
          <w:b/>
          <w:sz w:val="24"/>
        </w:rPr>
        <w:t>8.2</w:t>
      </w:r>
      <w:r>
        <w:rPr>
          <w:rFonts w:hAnsi="宋体"/>
          <w:b/>
          <w:sz w:val="24"/>
        </w:rPr>
        <w:t>资金来源与运用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资金主要来源于股东投资</w:t>
      </w:r>
      <w:r>
        <w:rPr>
          <w:sz w:val="24"/>
        </w:rPr>
        <w:t>XX</w:t>
      </w:r>
      <w:r>
        <w:rPr>
          <w:rFonts w:hAnsi="宋体"/>
          <w:sz w:val="24"/>
        </w:rPr>
        <w:t>万，其中以货币资金入股</w:t>
      </w:r>
      <w:r>
        <w:rPr>
          <w:sz w:val="24"/>
        </w:rPr>
        <w:t xml:space="preserve">XX </w:t>
      </w:r>
      <w:r>
        <w:rPr>
          <w:rFonts w:hAnsi="宋体"/>
          <w:sz w:val="24"/>
        </w:rPr>
        <w:t>万元，以固定资产入股</w:t>
      </w:r>
      <w:r>
        <w:rPr>
          <w:sz w:val="24"/>
        </w:rPr>
        <w:t>XX</w:t>
      </w:r>
      <w:r>
        <w:rPr>
          <w:rFonts w:hAnsi="宋体"/>
          <w:sz w:val="24"/>
        </w:rPr>
        <w:t>万元，以无形资产入股</w:t>
      </w:r>
      <w:r>
        <w:rPr>
          <w:sz w:val="24"/>
        </w:rPr>
        <w:t xml:space="preserve">XX </w:t>
      </w:r>
      <w:r>
        <w:rPr>
          <w:rFonts w:hAnsi="宋体"/>
          <w:sz w:val="24"/>
        </w:rPr>
        <w:t>万元，长期借款</w:t>
      </w:r>
      <w:r>
        <w:rPr>
          <w:sz w:val="24"/>
        </w:rPr>
        <w:t>XX</w:t>
      </w:r>
      <w:r>
        <w:rPr>
          <w:rFonts w:hAnsi="宋体"/>
          <w:sz w:val="24"/>
        </w:rPr>
        <w:t>万元，总计</w:t>
      </w:r>
      <w:r>
        <w:rPr>
          <w:sz w:val="24"/>
        </w:rPr>
        <w:t xml:space="preserve">XXX </w:t>
      </w:r>
      <w:r>
        <w:rPr>
          <w:rFonts w:hAnsi="宋体"/>
          <w:sz w:val="24"/>
        </w:rPr>
        <w:t>万元。股东投入货币资金</w:t>
      </w:r>
      <w:r>
        <w:rPr>
          <w:sz w:val="24"/>
        </w:rPr>
        <w:t>XX</w:t>
      </w:r>
      <w:r>
        <w:rPr>
          <w:rFonts w:hAnsi="宋体"/>
          <w:sz w:val="24"/>
        </w:rPr>
        <w:t>万元主要用于固定资产、流动资产的投资和支付开办费用。包括购置生产设备，生产中所需的直接原材料、直接人工、制造费用等、开办费和日常办公费等其它各类期间费用等。长期借款</w:t>
      </w:r>
      <w:r>
        <w:rPr>
          <w:sz w:val="24"/>
        </w:rPr>
        <w:t>XX</w:t>
      </w:r>
      <w:r>
        <w:rPr>
          <w:rFonts w:hAnsi="宋体"/>
          <w:sz w:val="24"/>
        </w:rPr>
        <w:t>万主要用于新产品研发和市场开拓等。货币资金来源及运用如表</w:t>
      </w:r>
      <w:r>
        <w:rPr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sz w:val="24"/>
        </w:rPr>
        <w:t>-2</w:t>
      </w:r>
      <w:r>
        <w:rPr>
          <w:rFonts w:hAnsi="宋体"/>
          <w:sz w:val="24"/>
        </w:rPr>
        <w:t>所示。</w:t>
      </w:r>
    </w:p>
    <w:p>
      <w:pPr>
        <w:jc w:val="center"/>
        <w:rPr>
          <w:szCs w:val="21"/>
        </w:rPr>
      </w:pPr>
      <w:r>
        <w:rPr>
          <w:rFonts w:hAnsi="宋体"/>
          <w:szCs w:val="21"/>
        </w:rPr>
        <w:t>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8</w:t>
      </w:r>
      <w:r>
        <w:rPr>
          <w:szCs w:val="21"/>
        </w:rPr>
        <w:t>-</w:t>
      </w:r>
      <w:r>
        <w:rPr>
          <w:rFonts w:hint="eastAsia"/>
          <w:szCs w:val="21"/>
        </w:rPr>
        <w:t xml:space="preserve">2   </w:t>
      </w:r>
      <w:r>
        <w:rPr>
          <w:rFonts w:hAnsi="宋体"/>
          <w:szCs w:val="21"/>
        </w:rPr>
        <w:t>资金来源及运用一览表</w:t>
      </w:r>
      <w:r>
        <w:rPr>
          <w:rFonts w:hint="eastAsia" w:hAnsi="宋体"/>
          <w:szCs w:val="21"/>
        </w:rPr>
        <w:t xml:space="preserve">   </w:t>
      </w:r>
      <w:r>
        <w:rPr>
          <w:rFonts w:hAnsi="宋体"/>
          <w:szCs w:val="21"/>
        </w:rPr>
        <w:t>单位</w:t>
      </w:r>
      <w:r>
        <w:rPr>
          <w:szCs w:val="21"/>
        </w:rPr>
        <w:t>:</w:t>
      </w:r>
      <w:r>
        <w:rPr>
          <w:rFonts w:hAnsi="宋体"/>
          <w:szCs w:val="21"/>
        </w:rPr>
        <w:t>万元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96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rPr>
                <w:sz w:val="24"/>
              </w:rPr>
            </w:pPr>
            <w:r>
              <w:rPr>
                <w:rFonts w:hAnsi="宋体"/>
                <w:sz w:val="24"/>
              </w:rPr>
              <w:t>资金来源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ind w:firstLine="1742" w:firstLineChars="726"/>
              <w:rPr>
                <w:sz w:val="24"/>
              </w:rPr>
            </w:pPr>
            <w:r>
              <w:rPr>
                <w:rFonts w:hAnsi="宋体"/>
                <w:sz w:val="24"/>
              </w:rPr>
              <w:t>具体项目（货币资金来源）</w:t>
            </w:r>
          </w:p>
        </w:tc>
        <w:tc>
          <w:tcPr>
            <w:tcW w:w="2602" w:type="dxa"/>
            <w:noWrap w:val="0"/>
            <w:vAlign w:val="top"/>
          </w:tcPr>
          <w:p>
            <w:pPr>
              <w:ind w:firstLine="708" w:firstLineChars="295"/>
              <w:rPr>
                <w:sz w:val="24"/>
              </w:rPr>
            </w:pPr>
            <w:r>
              <w:rPr>
                <w:rFonts w:hAnsi="宋体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ind w:firstLine="470" w:firstLineChars="196"/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资金运用</w:t>
            </w: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961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602" w:type="dxa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 w:hAnsi="宋体"/>
          <w:b/>
          <w:sz w:val="24"/>
        </w:rPr>
        <w:t>8.3</w:t>
      </w:r>
      <w:r>
        <w:rPr>
          <w:rFonts w:hint="eastAsia" w:ascii="宋体" w:hAnsi="宋体"/>
        </w:rPr>
        <w:t>未来五年营收预测表（单位：万元人民币）</w:t>
      </w:r>
    </w:p>
    <w:tbl>
      <w:tblPr>
        <w:tblStyle w:val="7"/>
        <w:tblW w:w="8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200"/>
        <w:gridCol w:w="1122"/>
        <w:gridCol w:w="1283"/>
        <w:gridCol w:w="1292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Ansi="宋体"/>
                <w:sz w:val="24"/>
              </w:rPr>
              <w:t>年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24</w:t>
            </w:r>
            <w:r>
              <w:rPr>
                <w:rFonts w:hAnsi="宋体"/>
                <w:sz w:val="24"/>
              </w:rPr>
              <w:t>年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Ansi="宋体"/>
                <w:sz w:val="24"/>
              </w:rPr>
              <w:t>年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Ansi="宋体"/>
                <w:sz w:val="24"/>
              </w:rPr>
              <w:t>年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减：营业成本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销售费用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管理费用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ind w:firstLine="420" w:firstLineChars="2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财务费用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3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主营业务税金及附加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二、营业利润：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营业外收入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营业外支出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三、利润总额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减：所得税费用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四、净利润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  <w:tc>
          <w:tcPr>
            <w:tcW w:w="1289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Cs w:val="21"/>
              </w:rPr>
            </w:pPr>
          </w:p>
        </w:tc>
      </w:tr>
    </w:tbl>
    <w:p>
      <w:pPr>
        <w:jc w:val="center"/>
        <w:rPr>
          <w:color w:val="FF0000"/>
          <w:sz w:val="24"/>
        </w:rPr>
      </w:pPr>
      <w:r>
        <w:rPr>
          <w:rFonts w:hAnsi="宋体"/>
          <w:color w:val="FF0000"/>
          <w:sz w:val="24"/>
        </w:rPr>
        <w:t>未来五年净利润发展预测（单位：万元）做成柱状图</w:t>
      </w:r>
    </w:p>
    <w:p>
      <w:pPr>
        <w:autoSpaceDE w:val="0"/>
        <w:autoSpaceDN w:val="0"/>
        <w:spacing w:before="100" w:after="100"/>
        <w:rPr>
          <w:rFonts w:hint="eastAsia" w:ascii="宋体" w:hAnsi="宋体" w:cs="Arial"/>
        </w:rPr>
      </w:pPr>
      <w:r>
        <w:rPr>
          <w:rFonts w:hint="eastAsia" w:hAnsi="宋体"/>
          <w:b/>
          <w:sz w:val="24"/>
        </w:rPr>
        <w:t xml:space="preserve">8.4 </w:t>
      </w:r>
      <w:r>
        <w:rPr>
          <w:rFonts w:hint="eastAsia" w:ascii="宋体" w:hAnsi="宋体" w:cs="Arial"/>
        </w:rPr>
        <w:t>未来五年费用预测表（单位：万元人民币）</w:t>
      </w:r>
    </w:p>
    <w:tbl>
      <w:tblPr>
        <w:tblStyle w:val="7"/>
        <w:tblW w:w="8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023"/>
        <w:gridCol w:w="1023"/>
        <w:gridCol w:w="1023"/>
        <w:gridCol w:w="1024"/>
        <w:gridCol w:w="999"/>
        <w:gridCol w:w="1046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年份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研发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市场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生产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行政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设备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合计支出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hAnsi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8.5</w:t>
      </w:r>
      <w:r>
        <w:rPr>
          <w:sz w:val="24"/>
        </w:rPr>
        <w:t xml:space="preserve"> </w:t>
      </w:r>
      <w:r>
        <w:rPr>
          <w:rFonts w:hAnsi="宋体"/>
          <w:sz w:val="24"/>
        </w:rPr>
        <w:t>投融资计划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8.5</w:t>
      </w:r>
      <w:r>
        <w:rPr>
          <w:sz w:val="24"/>
        </w:rPr>
        <w:t xml:space="preserve">.1 </w:t>
      </w:r>
      <w:r>
        <w:rPr>
          <w:rFonts w:hAnsi="宋体"/>
          <w:sz w:val="24"/>
        </w:rPr>
        <w:t>投资回报</w:t>
      </w:r>
    </w:p>
    <w:p>
      <w:pPr>
        <w:spacing w:line="360" w:lineRule="auto"/>
        <w:rPr>
          <w:rFonts w:hAnsi="宋体"/>
          <w:sz w:val="24"/>
        </w:rPr>
      </w:pPr>
      <w:r>
        <w:rPr>
          <w:rFonts w:hint="eastAsia"/>
          <w:sz w:val="24"/>
        </w:rPr>
        <w:t>8.5</w:t>
      </w:r>
      <w:r>
        <w:rPr>
          <w:sz w:val="24"/>
        </w:rPr>
        <w:t xml:space="preserve">.2 </w:t>
      </w:r>
      <w:r>
        <w:rPr>
          <w:rFonts w:hAnsi="宋体"/>
          <w:sz w:val="24"/>
        </w:rPr>
        <w:t>风险资本的退出方式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九</w:t>
      </w:r>
      <w:r>
        <w:rPr>
          <w:rFonts w:hint="eastAsia" w:hAnsi="宋体"/>
          <w:b/>
          <w:sz w:val="28"/>
          <w:szCs w:val="28"/>
        </w:rPr>
        <w:t>、</w:t>
      </w:r>
      <w:r>
        <w:rPr>
          <w:rFonts w:hAnsi="宋体"/>
          <w:b/>
          <w:sz w:val="28"/>
          <w:szCs w:val="28"/>
        </w:rPr>
        <w:t>融资说明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9.1</w:t>
      </w:r>
      <w:r>
        <w:rPr>
          <w:rFonts w:hAnsi="宋体"/>
          <w:b/>
          <w:sz w:val="24"/>
        </w:rPr>
        <w:t>项目总投入</w:t>
      </w:r>
      <w:r>
        <w:rPr>
          <w:rFonts w:hAnsi="宋体"/>
          <w:sz w:val="24"/>
        </w:rPr>
        <w:t>（目前项目已有的总投资，项目未来一年的融资计划及进展预测）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9.2</w:t>
      </w:r>
      <w:r>
        <w:rPr>
          <w:rFonts w:hAnsi="宋体"/>
          <w:b/>
          <w:sz w:val="24"/>
        </w:rPr>
        <w:t>资金用途</w:t>
      </w:r>
      <w:r>
        <w:rPr>
          <w:rFonts w:hAnsi="宋体"/>
          <w:sz w:val="24"/>
        </w:rPr>
        <w:t>（资金分阶段使用计划及用途）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9.3</w:t>
      </w:r>
      <w:r>
        <w:rPr>
          <w:rFonts w:hAnsi="宋体"/>
          <w:b/>
          <w:sz w:val="24"/>
        </w:rPr>
        <w:t>资产估值</w:t>
      </w:r>
      <w:r>
        <w:rPr>
          <w:rFonts w:hAnsi="宋体"/>
          <w:sz w:val="24"/>
        </w:rPr>
        <w:t>（有形资产估值、无形资产估值及估值计算方法）</w:t>
      </w:r>
    </w:p>
    <w:p>
      <w:pPr>
        <w:spacing w:before="156" w:beforeLines="50" w:after="156" w:afterLines="50" w:line="360" w:lineRule="auto"/>
        <w:rPr>
          <w:rFonts w:hint="eastAsia" w:hAnsi="宋体" w:eastAsia="宋体"/>
          <w:b/>
          <w:sz w:val="28"/>
          <w:szCs w:val="28"/>
          <w:lang w:eastAsia="zh-CN"/>
        </w:rPr>
      </w:pPr>
      <w:r>
        <w:rPr>
          <w:rFonts w:hAnsi="宋体"/>
          <w:b/>
          <w:sz w:val="28"/>
          <w:szCs w:val="28"/>
        </w:rPr>
        <w:t>十、团队</w:t>
      </w:r>
      <w:r>
        <w:rPr>
          <w:rFonts w:hint="eastAsia" w:hAnsi="宋体"/>
          <w:b/>
          <w:sz w:val="28"/>
          <w:szCs w:val="28"/>
          <w:lang w:val="en-US" w:eastAsia="zh-CN"/>
        </w:rPr>
        <w:t>或公司</w:t>
      </w:r>
      <w:r>
        <w:rPr>
          <w:rFonts w:hint="eastAsia" w:hAnsi="宋体"/>
          <w:b/>
          <w:sz w:val="28"/>
          <w:szCs w:val="28"/>
          <w:lang w:eastAsia="zh-CN"/>
        </w:rPr>
        <w:t>管理</w:t>
      </w:r>
    </w:p>
    <w:p>
      <w:pPr>
        <w:snapToGrid w:val="0"/>
        <w:spacing w:line="360" w:lineRule="auto"/>
        <w:rPr>
          <w:rFonts w:hint="eastAsia" w:hAnsi="宋体"/>
          <w:b/>
          <w:sz w:val="24"/>
          <w:lang w:eastAsia="zh-CN"/>
        </w:rPr>
      </w:pPr>
      <w:r>
        <w:rPr>
          <w:b/>
          <w:sz w:val="24"/>
        </w:rPr>
        <w:t xml:space="preserve">10.1 </w:t>
      </w:r>
      <w:r>
        <w:rPr>
          <w:rFonts w:hAnsi="宋体"/>
          <w:b/>
          <w:sz w:val="24"/>
        </w:rPr>
        <w:t>团队</w:t>
      </w:r>
      <w:r>
        <w:rPr>
          <w:rFonts w:hint="eastAsia" w:hAnsi="宋体"/>
          <w:b/>
          <w:sz w:val="24"/>
          <w:lang w:val="en-US" w:eastAsia="zh-CN"/>
        </w:rPr>
        <w:t>或公司</w:t>
      </w:r>
      <w:r>
        <w:rPr>
          <w:rFonts w:hint="eastAsia" w:hAnsi="宋体"/>
          <w:b/>
          <w:sz w:val="24"/>
          <w:lang w:eastAsia="zh-CN"/>
        </w:rPr>
        <w:t>运营管理</w:t>
      </w:r>
    </w:p>
    <w:p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 xml:space="preserve">10.2 </w:t>
      </w:r>
      <w:r>
        <w:rPr>
          <w:rFonts w:hAnsi="宋体"/>
          <w:b/>
          <w:sz w:val="24"/>
        </w:rPr>
        <w:t>团队</w:t>
      </w:r>
      <w:r>
        <w:rPr>
          <w:rFonts w:hint="eastAsia" w:hAnsi="宋体"/>
          <w:b/>
          <w:sz w:val="24"/>
          <w:lang w:val="en-US" w:eastAsia="zh-CN"/>
        </w:rPr>
        <w:t>或</w:t>
      </w:r>
      <w:r>
        <w:rPr>
          <w:rFonts w:hAnsi="宋体"/>
          <w:b/>
          <w:sz w:val="24"/>
        </w:rPr>
        <w:t>公司组织结构及人力资源配置</w:t>
      </w:r>
    </w:p>
    <w:p>
      <w:pPr>
        <w:snapToGrid w:val="0"/>
        <w:spacing w:line="360" w:lineRule="auto"/>
        <w:rPr>
          <w:b/>
          <w:sz w:val="24"/>
        </w:rPr>
      </w:pPr>
      <w:r>
        <w:rPr>
          <w:b/>
          <w:sz w:val="24"/>
        </w:rPr>
        <w:t xml:space="preserve">10.2.1 </w:t>
      </w:r>
      <w:r>
        <w:rPr>
          <w:rFonts w:hAnsi="宋体"/>
          <w:b/>
          <w:sz w:val="24"/>
        </w:rPr>
        <w:t>团队</w:t>
      </w:r>
      <w:r>
        <w:rPr>
          <w:rFonts w:hint="eastAsia" w:hAnsi="宋体"/>
          <w:b/>
          <w:sz w:val="24"/>
          <w:lang w:val="en-US" w:eastAsia="zh-CN"/>
        </w:rPr>
        <w:t>或</w:t>
      </w:r>
      <w:r>
        <w:rPr>
          <w:rFonts w:hAnsi="宋体"/>
          <w:b/>
          <w:sz w:val="24"/>
        </w:rPr>
        <w:t>公司组织结构及职责</w:t>
      </w:r>
    </w:p>
    <w:p>
      <w:pPr>
        <w:snapToGrid w:val="0"/>
        <w:spacing w:line="360" w:lineRule="auto"/>
        <w:rPr>
          <w:rFonts w:hAnsi="宋体"/>
          <w:b/>
          <w:sz w:val="24"/>
        </w:rPr>
      </w:pPr>
      <w:r>
        <w:rPr>
          <w:b/>
          <w:sz w:val="24"/>
        </w:rPr>
        <w:t>10.2.2</w:t>
      </w:r>
      <w:r>
        <w:rPr>
          <w:rFonts w:hint="eastAsia"/>
          <w:b/>
          <w:sz w:val="24"/>
        </w:rPr>
        <w:t>人</w:t>
      </w:r>
      <w:r>
        <w:rPr>
          <w:rFonts w:hAnsi="宋体"/>
          <w:b/>
          <w:sz w:val="24"/>
        </w:rPr>
        <w:t>力资源配置</w:t>
      </w:r>
    </w:p>
    <w:p>
      <w:pPr>
        <w:snapToGrid w:val="0"/>
        <w:spacing w:line="360" w:lineRule="auto"/>
        <w:rPr>
          <w:rFonts w:hAnsi="宋体"/>
          <w:b/>
          <w:sz w:val="24"/>
        </w:rPr>
      </w:pP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十一、项目其它附件材料</w:t>
      </w:r>
    </w:p>
    <w:p>
      <w:pPr>
        <w:spacing w:line="360" w:lineRule="auto"/>
        <w:ind w:firstLine="480" w:firstLineChars="200"/>
      </w:pPr>
      <w:r>
        <w:rPr>
          <w:sz w:val="24"/>
        </w:rPr>
        <w:t>(</w:t>
      </w:r>
      <w:r>
        <w:rPr>
          <w:rFonts w:hint="eastAsia"/>
          <w:sz w:val="24"/>
        </w:rPr>
        <w:t>初创组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成长组</w:t>
      </w:r>
      <w:r>
        <w:rPr>
          <w:rFonts w:hint="eastAsia"/>
          <w:sz w:val="24"/>
          <w:lang w:val="en-US" w:eastAsia="zh-CN"/>
        </w:rPr>
        <w:t>和师生共创组</w:t>
      </w:r>
      <w:r>
        <w:rPr>
          <w:rFonts w:hint="eastAsia"/>
          <w:sz w:val="24"/>
        </w:rPr>
        <w:t>须提供</w:t>
      </w:r>
      <w:r>
        <w:rPr>
          <w:rFonts w:hAnsi="宋体"/>
          <w:sz w:val="24"/>
        </w:rPr>
        <w:t>组织机构代码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营业执照扫描件、专利证书、著作、政府批文、鉴定材料复印件</w:t>
      </w:r>
      <w:r>
        <w:rPr>
          <w:rFonts w:hint="eastAsia" w:hAnsi="宋体"/>
          <w:sz w:val="24"/>
        </w:rPr>
        <w:t>）</w:t>
      </w:r>
      <w:r>
        <w:rPr>
          <w:rFonts w:hAnsi="宋体"/>
          <w:sz w:val="24"/>
        </w:rPr>
        <w:t>其他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TgzOTIwYTg1YzU0ZDc3MWMyMzMyOGUxMzNjZDgifQ=="/>
  </w:docVars>
  <w:rsids>
    <w:rsidRoot w:val="008502D0"/>
    <w:rsid w:val="000046CD"/>
    <w:rsid w:val="00005F06"/>
    <w:rsid w:val="00013417"/>
    <w:rsid w:val="00014F3E"/>
    <w:rsid w:val="000233E4"/>
    <w:rsid w:val="000245EA"/>
    <w:rsid w:val="00024A4F"/>
    <w:rsid w:val="0003634F"/>
    <w:rsid w:val="00044787"/>
    <w:rsid w:val="00044BC2"/>
    <w:rsid w:val="00047EAF"/>
    <w:rsid w:val="000674A7"/>
    <w:rsid w:val="00073DF5"/>
    <w:rsid w:val="00086E71"/>
    <w:rsid w:val="000D115D"/>
    <w:rsid w:val="000E1D86"/>
    <w:rsid w:val="000E756B"/>
    <w:rsid w:val="000F5803"/>
    <w:rsid w:val="0010159C"/>
    <w:rsid w:val="00105F63"/>
    <w:rsid w:val="00127881"/>
    <w:rsid w:val="00127937"/>
    <w:rsid w:val="0013089A"/>
    <w:rsid w:val="00136924"/>
    <w:rsid w:val="00164D3C"/>
    <w:rsid w:val="00180B4D"/>
    <w:rsid w:val="00186D5E"/>
    <w:rsid w:val="001A2E34"/>
    <w:rsid w:val="001B4EF0"/>
    <w:rsid w:val="001B5E4B"/>
    <w:rsid w:val="001C1BF9"/>
    <w:rsid w:val="001C6782"/>
    <w:rsid w:val="001C775B"/>
    <w:rsid w:val="001D2A4D"/>
    <w:rsid w:val="00220A36"/>
    <w:rsid w:val="00223EDE"/>
    <w:rsid w:val="00246108"/>
    <w:rsid w:val="002626C3"/>
    <w:rsid w:val="002627A0"/>
    <w:rsid w:val="002761DF"/>
    <w:rsid w:val="0028593A"/>
    <w:rsid w:val="00290E34"/>
    <w:rsid w:val="00294254"/>
    <w:rsid w:val="002C76ED"/>
    <w:rsid w:val="002E4AB4"/>
    <w:rsid w:val="002E6AFD"/>
    <w:rsid w:val="002F41BA"/>
    <w:rsid w:val="002F7685"/>
    <w:rsid w:val="00300FED"/>
    <w:rsid w:val="00314863"/>
    <w:rsid w:val="00330CAE"/>
    <w:rsid w:val="003321AB"/>
    <w:rsid w:val="00354925"/>
    <w:rsid w:val="003721B7"/>
    <w:rsid w:val="00390C24"/>
    <w:rsid w:val="00395B97"/>
    <w:rsid w:val="00396795"/>
    <w:rsid w:val="003C6A19"/>
    <w:rsid w:val="003E132C"/>
    <w:rsid w:val="00404EB1"/>
    <w:rsid w:val="004249C4"/>
    <w:rsid w:val="004415C2"/>
    <w:rsid w:val="004445A3"/>
    <w:rsid w:val="00447C7A"/>
    <w:rsid w:val="004500D5"/>
    <w:rsid w:val="004518BE"/>
    <w:rsid w:val="004717EA"/>
    <w:rsid w:val="00481456"/>
    <w:rsid w:val="00481810"/>
    <w:rsid w:val="004A29B6"/>
    <w:rsid w:val="004C0630"/>
    <w:rsid w:val="004C2D1E"/>
    <w:rsid w:val="004C6181"/>
    <w:rsid w:val="004C6DCC"/>
    <w:rsid w:val="004E52E8"/>
    <w:rsid w:val="004E746A"/>
    <w:rsid w:val="004F086E"/>
    <w:rsid w:val="004F0C92"/>
    <w:rsid w:val="005049DA"/>
    <w:rsid w:val="005118BE"/>
    <w:rsid w:val="0051766B"/>
    <w:rsid w:val="00540B27"/>
    <w:rsid w:val="00563AFD"/>
    <w:rsid w:val="005643B2"/>
    <w:rsid w:val="005721CA"/>
    <w:rsid w:val="0057545A"/>
    <w:rsid w:val="005841F1"/>
    <w:rsid w:val="005951F4"/>
    <w:rsid w:val="005D6C1C"/>
    <w:rsid w:val="005E3613"/>
    <w:rsid w:val="005F145D"/>
    <w:rsid w:val="00600A2C"/>
    <w:rsid w:val="006053B2"/>
    <w:rsid w:val="00606E86"/>
    <w:rsid w:val="00611BFA"/>
    <w:rsid w:val="00654785"/>
    <w:rsid w:val="00663713"/>
    <w:rsid w:val="00690377"/>
    <w:rsid w:val="00690B3B"/>
    <w:rsid w:val="00693D20"/>
    <w:rsid w:val="006A6C7C"/>
    <w:rsid w:val="006B0CF0"/>
    <w:rsid w:val="006B2841"/>
    <w:rsid w:val="006B39AC"/>
    <w:rsid w:val="006C0069"/>
    <w:rsid w:val="006D2E1F"/>
    <w:rsid w:val="006E3988"/>
    <w:rsid w:val="006E56D6"/>
    <w:rsid w:val="006F6A80"/>
    <w:rsid w:val="007148A3"/>
    <w:rsid w:val="0072707F"/>
    <w:rsid w:val="00727C5F"/>
    <w:rsid w:val="00734D68"/>
    <w:rsid w:val="0078343C"/>
    <w:rsid w:val="00783AEE"/>
    <w:rsid w:val="007B3BA4"/>
    <w:rsid w:val="007C3352"/>
    <w:rsid w:val="007D6719"/>
    <w:rsid w:val="007E4214"/>
    <w:rsid w:val="007F0E76"/>
    <w:rsid w:val="007F4898"/>
    <w:rsid w:val="007F48FA"/>
    <w:rsid w:val="007F71F6"/>
    <w:rsid w:val="00803834"/>
    <w:rsid w:val="00813FB9"/>
    <w:rsid w:val="00817C02"/>
    <w:rsid w:val="008228DA"/>
    <w:rsid w:val="008246A1"/>
    <w:rsid w:val="008502D0"/>
    <w:rsid w:val="00853215"/>
    <w:rsid w:val="008628E1"/>
    <w:rsid w:val="008671C4"/>
    <w:rsid w:val="00883355"/>
    <w:rsid w:val="00883C07"/>
    <w:rsid w:val="00892A04"/>
    <w:rsid w:val="00894A5C"/>
    <w:rsid w:val="008A4290"/>
    <w:rsid w:val="008B2F11"/>
    <w:rsid w:val="008B4488"/>
    <w:rsid w:val="008B5287"/>
    <w:rsid w:val="008B61FB"/>
    <w:rsid w:val="008E13B3"/>
    <w:rsid w:val="00904434"/>
    <w:rsid w:val="00904A6A"/>
    <w:rsid w:val="00917C89"/>
    <w:rsid w:val="00923B7D"/>
    <w:rsid w:val="00923EBE"/>
    <w:rsid w:val="00944FB1"/>
    <w:rsid w:val="009454FB"/>
    <w:rsid w:val="00945C46"/>
    <w:rsid w:val="009611ED"/>
    <w:rsid w:val="009612DB"/>
    <w:rsid w:val="009669AE"/>
    <w:rsid w:val="00980D2F"/>
    <w:rsid w:val="00983866"/>
    <w:rsid w:val="00991FF2"/>
    <w:rsid w:val="009A2031"/>
    <w:rsid w:val="009A4477"/>
    <w:rsid w:val="009A652E"/>
    <w:rsid w:val="009A770E"/>
    <w:rsid w:val="009B27E1"/>
    <w:rsid w:val="009B5B4A"/>
    <w:rsid w:val="009C639A"/>
    <w:rsid w:val="009F291F"/>
    <w:rsid w:val="009F30BE"/>
    <w:rsid w:val="009F65C7"/>
    <w:rsid w:val="00A02F6F"/>
    <w:rsid w:val="00A05E86"/>
    <w:rsid w:val="00A10B8B"/>
    <w:rsid w:val="00A1326A"/>
    <w:rsid w:val="00A25E17"/>
    <w:rsid w:val="00A42060"/>
    <w:rsid w:val="00A75EA5"/>
    <w:rsid w:val="00A82685"/>
    <w:rsid w:val="00A839B3"/>
    <w:rsid w:val="00A909E9"/>
    <w:rsid w:val="00A96A3D"/>
    <w:rsid w:val="00AA6787"/>
    <w:rsid w:val="00AA67CD"/>
    <w:rsid w:val="00AB692F"/>
    <w:rsid w:val="00AC22B8"/>
    <w:rsid w:val="00AC694A"/>
    <w:rsid w:val="00B00997"/>
    <w:rsid w:val="00B0577C"/>
    <w:rsid w:val="00B13D4C"/>
    <w:rsid w:val="00B1724C"/>
    <w:rsid w:val="00B17AD7"/>
    <w:rsid w:val="00B3504C"/>
    <w:rsid w:val="00B350D9"/>
    <w:rsid w:val="00B47895"/>
    <w:rsid w:val="00B47958"/>
    <w:rsid w:val="00B47F5F"/>
    <w:rsid w:val="00B50D40"/>
    <w:rsid w:val="00B712F9"/>
    <w:rsid w:val="00B77E91"/>
    <w:rsid w:val="00BA0F1C"/>
    <w:rsid w:val="00BA1534"/>
    <w:rsid w:val="00BB62C3"/>
    <w:rsid w:val="00BB6FAB"/>
    <w:rsid w:val="00BF0C2A"/>
    <w:rsid w:val="00BF6153"/>
    <w:rsid w:val="00C06735"/>
    <w:rsid w:val="00C076B1"/>
    <w:rsid w:val="00C15389"/>
    <w:rsid w:val="00C2008B"/>
    <w:rsid w:val="00C22461"/>
    <w:rsid w:val="00C32098"/>
    <w:rsid w:val="00C32277"/>
    <w:rsid w:val="00C332D7"/>
    <w:rsid w:val="00C35CD2"/>
    <w:rsid w:val="00C4665E"/>
    <w:rsid w:val="00C553FB"/>
    <w:rsid w:val="00C62E12"/>
    <w:rsid w:val="00C66243"/>
    <w:rsid w:val="00C73738"/>
    <w:rsid w:val="00CC01F0"/>
    <w:rsid w:val="00CE3AE1"/>
    <w:rsid w:val="00CF2B51"/>
    <w:rsid w:val="00D0642B"/>
    <w:rsid w:val="00D12C4F"/>
    <w:rsid w:val="00D172DF"/>
    <w:rsid w:val="00D314E5"/>
    <w:rsid w:val="00D54EAF"/>
    <w:rsid w:val="00D60369"/>
    <w:rsid w:val="00D6474F"/>
    <w:rsid w:val="00D65587"/>
    <w:rsid w:val="00D7120B"/>
    <w:rsid w:val="00D7346D"/>
    <w:rsid w:val="00D801BD"/>
    <w:rsid w:val="00D91DFA"/>
    <w:rsid w:val="00D97508"/>
    <w:rsid w:val="00DA2DFC"/>
    <w:rsid w:val="00DB2590"/>
    <w:rsid w:val="00DD0FF6"/>
    <w:rsid w:val="00DF07C3"/>
    <w:rsid w:val="00E06FA0"/>
    <w:rsid w:val="00E1510C"/>
    <w:rsid w:val="00E35783"/>
    <w:rsid w:val="00E42852"/>
    <w:rsid w:val="00E45C6B"/>
    <w:rsid w:val="00E4767D"/>
    <w:rsid w:val="00E7657D"/>
    <w:rsid w:val="00E76653"/>
    <w:rsid w:val="00E82596"/>
    <w:rsid w:val="00E8291B"/>
    <w:rsid w:val="00E85EFA"/>
    <w:rsid w:val="00E865B9"/>
    <w:rsid w:val="00E935F5"/>
    <w:rsid w:val="00EA5153"/>
    <w:rsid w:val="00EA7C33"/>
    <w:rsid w:val="00EB5E3A"/>
    <w:rsid w:val="00EC1E78"/>
    <w:rsid w:val="00EF4DA3"/>
    <w:rsid w:val="00F038AE"/>
    <w:rsid w:val="00F148CB"/>
    <w:rsid w:val="00F158D3"/>
    <w:rsid w:val="00F37832"/>
    <w:rsid w:val="00F40455"/>
    <w:rsid w:val="00F5641A"/>
    <w:rsid w:val="00F566BB"/>
    <w:rsid w:val="00F659B9"/>
    <w:rsid w:val="00F70611"/>
    <w:rsid w:val="00F9257C"/>
    <w:rsid w:val="00F93530"/>
    <w:rsid w:val="00F974B0"/>
    <w:rsid w:val="00FB2052"/>
    <w:rsid w:val="00FB3808"/>
    <w:rsid w:val="00FD3AE9"/>
    <w:rsid w:val="00FD6EA3"/>
    <w:rsid w:val="00FE228B"/>
    <w:rsid w:val="03BB4378"/>
    <w:rsid w:val="04193354"/>
    <w:rsid w:val="0C114C2D"/>
    <w:rsid w:val="0EE61716"/>
    <w:rsid w:val="16784ACE"/>
    <w:rsid w:val="1D7B3934"/>
    <w:rsid w:val="1E7C7F76"/>
    <w:rsid w:val="21A42263"/>
    <w:rsid w:val="242D63CF"/>
    <w:rsid w:val="246E735A"/>
    <w:rsid w:val="24FE55B5"/>
    <w:rsid w:val="25DF7707"/>
    <w:rsid w:val="28372BAD"/>
    <w:rsid w:val="29C469FC"/>
    <w:rsid w:val="2A831ED6"/>
    <w:rsid w:val="2B287B6F"/>
    <w:rsid w:val="2DC13DBD"/>
    <w:rsid w:val="332F059E"/>
    <w:rsid w:val="35845C4B"/>
    <w:rsid w:val="393B7AF4"/>
    <w:rsid w:val="396A14B8"/>
    <w:rsid w:val="3AD13B29"/>
    <w:rsid w:val="3B16227D"/>
    <w:rsid w:val="3BA77471"/>
    <w:rsid w:val="3DE22108"/>
    <w:rsid w:val="40555730"/>
    <w:rsid w:val="40BC637E"/>
    <w:rsid w:val="420A681D"/>
    <w:rsid w:val="4CC91F2C"/>
    <w:rsid w:val="50C87EE7"/>
    <w:rsid w:val="51EF0631"/>
    <w:rsid w:val="532A7B33"/>
    <w:rsid w:val="558F289F"/>
    <w:rsid w:val="55D25E1D"/>
    <w:rsid w:val="560B59D8"/>
    <w:rsid w:val="56763AAD"/>
    <w:rsid w:val="57C67180"/>
    <w:rsid w:val="61C73EAC"/>
    <w:rsid w:val="63072CBA"/>
    <w:rsid w:val="64F56809"/>
    <w:rsid w:val="64FC7FFB"/>
    <w:rsid w:val="658C7D95"/>
    <w:rsid w:val="65F72478"/>
    <w:rsid w:val="674E63F2"/>
    <w:rsid w:val="68EC6B53"/>
    <w:rsid w:val="69AF6111"/>
    <w:rsid w:val="6B546858"/>
    <w:rsid w:val="6B9F7F08"/>
    <w:rsid w:val="72E17011"/>
    <w:rsid w:val="77E01CBA"/>
    <w:rsid w:val="79A96D02"/>
    <w:rsid w:val="7B454538"/>
    <w:rsid w:val="7E437F38"/>
    <w:rsid w:val="7F643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Body Text 2"/>
    <w:basedOn w:val="1"/>
    <w:link w:val="14"/>
    <w:qFormat/>
    <w:uiPriority w:val="0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1">
    <w:name w:val="样式 行距: 1.5 倍行距1"/>
    <w:basedOn w:val="1"/>
    <w:qFormat/>
    <w:uiPriority w:val="0"/>
    <w:pPr>
      <w:widowControl/>
      <w:spacing w:line="360" w:lineRule="exact"/>
      <w:ind w:firstLine="200" w:firstLineChars="200"/>
      <w:jc w:val="left"/>
    </w:pPr>
    <w:rPr>
      <w:rFonts w:ascii="Calibri" w:hAnsi="Calibri" w:cs="宋体"/>
      <w:kern w:val="0"/>
      <w:sz w:val="24"/>
      <w:szCs w:val="20"/>
      <w:lang w:eastAsia="en-US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3">
    <w:name w:val="页脚 Char"/>
    <w:link w:val="4"/>
    <w:qFormat/>
    <w:uiPriority w:val="99"/>
    <w:rPr>
      <w:sz w:val="18"/>
      <w:szCs w:val="18"/>
    </w:rPr>
  </w:style>
  <w:style w:type="character" w:customStyle="1" w:styleId="14">
    <w:name w:val="正文文本 2 Char"/>
    <w:link w:val="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5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1637</Words>
  <Characters>1879</Characters>
  <Lines>16</Lines>
  <Paragraphs>4</Paragraphs>
  <TotalTime>12</TotalTime>
  <ScaleCrop>false</ScaleCrop>
  <LinksUpToDate>false</LinksUpToDate>
  <CharactersWithSpaces>2165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2016-03-29T05:39:00Z</dcterms:created>
  <dc:creator>admin</dc:creator>
  <cp:lastModifiedBy>赵伟</cp:lastModifiedBy>
  <cp:lastPrinted>2017-05-11T07:24:00Z</cp:lastPrinted>
  <dcterms:modified xsi:type="dcterms:W3CDTF">2024-03-26T02:10:50Z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673A217D9356475DAAB1F164031EA790</vt:lpwstr>
  </property>
</Properties>
</file>